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企服中心关于</w:t>
      </w:r>
      <w:r>
        <w:rPr>
          <w:rFonts w:hint="eastAsia" w:ascii="方正小标宋简体" w:hAnsi="方正小标宋简体" w:eastAsia="方正小标宋简体" w:cs="方正小标宋简体"/>
          <w:color w:val="auto"/>
          <w:sz w:val="44"/>
          <w:szCs w:val="44"/>
          <w:lang w:eastAsia="zh-CN"/>
        </w:rPr>
        <w:t>对人大提案“关于大力推动小微企业发展举办“小微企业创业</w:t>
      </w:r>
      <w:r>
        <w:rPr>
          <w:rFonts w:hint="eastAsia" w:ascii="方正小标宋简体" w:hAnsi="方正小标宋简体" w:eastAsia="方正小标宋简体" w:cs="方正小标宋简体"/>
          <w:sz w:val="44"/>
          <w:szCs w:val="44"/>
          <w:lang w:eastAsia="zh-CN"/>
        </w:rPr>
        <w:t>展会”的建议”（第JY20190117</w:t>
      </w:r>
      <w:r>
        <w:rPr>
          <w:rFonts w:hint="eastAsia" w:ascii="方正小标宋简体" w:hAnsi="方正小标宋简体" w:eastAsia="方正小标宋简体" w:cs="方正小标宋简体"/>
          <w:sz w:val="44"/>
          <w:szCs w:val="44"/>
          <w:highlight w:val="none"/>
          <w:lang w:eastAsia="zh-CN"/>
        </w:rPr>
        <w:t>号</w:t>
      </w:r>
      <w:r>
        <w:rPr>
          <w:rFonts w:hint="eastAsia" w:ascii="方正小标宋简体" w:hAnsi="方正小标宋简体" w:eastAsia="方正小标宋简体" w:cs="方正小标宋简体"/>
          <w:sz w:val="44"/>
          <w:szCs w:val="44"/>
          <w:lang w:eastAsia="zh-CN"/>
        </w:rPr>
        <w:t>）的回复</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尊敬的陈婷,伍吟红,黄金城,黎新风,李碧君,肖伟雄,幸智敏,姚雯莹,钟雄代表：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color="auto"/>
          <w:lang w:eastAsia="zh-CN"/>
        </w:rPr>
      </w:pPr>
      <w:r>
        <w:rPr>
          <w:rFonts w:hint="eastAsia" w:ascii="仿宋_GB2312" w:hAnsi="仿宋_GB2312" w:eastAsia="仿宋_GB2312" w:cs="仿宋_GB2312"/>
          <w:sz w:val="32"/>
          <w:szCs w:val="32"/>
          <w:lang w:eastAsia="zh-CN"/>
        </w:rPr>
        <w:t>感谢您对举办“小微企业创业展会”提出的宝贵意见。</w:t>
      </w:r>
      <w:r>
        <w:rPr>
          <w:rFonts w:hint="eastAsia" w:ascii="仿宋_GB2312" w:hAnsi="仿宋_GB2312" w:eastAsia="仿宋_GB2312" w:cs="仿宋_GB2312"/>
          <w:b w:val="0"/>
          <w:bCs w:val="0"/>
          <w:i w:val="0"/>
          <w:snapToGrid/>
          <w:color w:val="000000"/>
          <w:sz w:val="32"/>
          <w:szCs w:val="32"/>
          <w:u w:val="none" w:color="auto"/>
          <w:shd w:val="clear" w:color="auto" w:fill="FFFFFF"/>
          <w:lang w:eastAsia="zh-CN"/>
        </w:rPr>
        <w:t>根据区人大办的安排，</w:t>
      </w:r>
      <w:r>
        <w:rPr>
          <w:rFonts w:hint="eastAsia" w:ascii="仿宋_GB2312" w:hAnsi="仿宋_GB2312" w:eastAsia="仿宋_GB2312" w:cs="仿宋_GB2312"/>
          <w:b w:val="0"/>
          <w:bCs w:val="0"/>
          <w:i w:val="0"/>
          <w:snapToGrid/>
          <w:color w:val="000000"/>
          <w:sz w:val="32"/>
          <w:szCs w:val="32"/>
          <w:u w:val="none" w:color="auto"/>
          <w:shd w:val="clear" w:color="auto" w:fill="FFFFFF"/>
          <w:lang w:val="en-US" w:eastAsia="zh-CN"/>
        </w:rPr>
        <w:t>企服</w:t>
      </w:r>
      <w:r>
        <w:rPr>
          <w:rFonts w:hint="eastAsia" w:ascii="仿宋_GB2312" w:hAnsi="仿宋_GB2312" w:eastAsia="仿宋_GB2312" w:cs="仿宋_GB2312"/>
          <w:b w:val="0"/>
          <w:bCs w:val="0"/>
          <w:i w:val="0"/>
          <w:snapToGrid/>
          <w:color w:val="000000"/>
          <w:sz w:val="32"/>
          <w:szCs w:val="32"/>
          <w:u w:val="none" w:color="auto"/>
          <w:shd w:val="clear" w:color="auto" w:fill="FFFFFF"/>
          <w:lang w:eastAsia="zh-CN"/>
        </w:rPr>
        <w:t>中心高度重视提案的办理工作，</w:t>
      </w:r>
      <w:r>
        <w:rPr>
          <w:rFonts w:hint="eastAsia" w:ascii="仿宋_GB2312" w:hAnsi="仿宋_GB2312" w:eastAsia="仿宋_GB2312" w:cs="仿宋_GB2312"/>
          <w:color w:val="000000"/>
          <w:kern w:val="0"/>
          <w:sz w:val="32"/>
          <w:szCs w:val="32"/>
          <w:u w:val="none" w:color="auto"/>
        </w:rPr>
        <w:t>以履职、为民、务实为原则，以办理为契机，通过科学汲取意见建议，着力解决</w:t>
      </w:r>
      <w:r>
        <w:rPr>
          <w:rFonts w:hint="eastAsia" w:ascii="仿宋_GB2312" w:hAnsi="仿宋_GB2312" w:eastAsia="仿宋_GB2312" w:cs="仿宋_GB2312"/>
          <w:color w:val="000000"/>
          <w:kern w:val="0"/>
          <w:sz w:val="32"/>
          <w:szCs w:val="32"/>
          <w:u w:val="none" w:color="auto"/>
          <w:lang w:eastAsia="zh-CN"/>
        </w:rPr>
        <w:t>企业发展和</w:t>
      </w:r>
      <w:r>
        <w:rPr>
          <w:rFonts w:hint="eastAsia" w:ascii="仿宋_GB2312" w:hAnsi="仿宋_GB2312" w:eastAsia="仿宋_GB2312" w:cs="仿宋_GB2312"/>
          <w:color w:val="000000"/>
          <w:kern w:val="0"/>
          <w:sz w:val="32"/>
          <w:szCs w:val="32"/>
          <w:u w:val="none" w:color="auto"/>
        </w:rPr>
        <w:t>社会关注的热点、难点等问</w:t>
      </w:r>
      <w:r>
        <w:rPr>
          <w:rFonts w:hint="eastAsia" w:ascii="仿宋_GB2312" w:hAnsi="仿宋_GB2312" w:eastAsia="仿宋_GB2312" w:cs="仿宋_GB2312"/>
          <w:color w:val="auto"/>
          <w:kern w:val="0"/>
          <w:sz w:val="32"/>
          <w:szCs w:val="32"/>
          <w:u w:val="none" w:color="auto"/>
        </w:rPr>
        <w:t>题，进一步推进</w:t>
      </w:r>
      <w:r>
        <w:rPr>
          <w:rFonts w:hint="eastAsia" w:ascii="仿宋_GB2312" w:hAnsi="仿宋_GB2312" w:eastAsia="仿宋_GB2312" w:cs="仿宋_GB2312"/>
          <w:color w:val="auto"/>
          <w:kern w:val="0"/>
          <w:sz w:val="32"/>
          <w:szCs w:val="32"/>
          <w:u w:val="none" w:color="auto"/>
          <w:lang w:eastAsia="zh-CN"/>
        </w:rPr>
        <w:t>企业服务</w:t>
      </w:r>
      <w:r>
        <w:rPr>
          <w:rFonts w:hint="eastAsia" w:ascii="仿宋_GB2312" w:hAnsi="仿宋_GB2312" w:eastAsia="仿宋_GB2312" w:cs="仿宋_GB2312"/>
          <w:color w:val="auto"/>
          <w:kern w:val="0"/>
          <w:sz w:val="32"/>
          <w:szCs w:val="32"/>
          <w:u w:val="none" w:color="auto"/>
        </w:rPr>
        <w:t>全面发展。</w:t>
      </w:r>
      <w:r>
        <w:rPr>
          <w:rFonts w:hint="eastAsia" w:ascii="仿宋_GB2312" w:hAnsi="仿宋_GB2312" w:eastAsia="仿宋_GB2312" w:cs="仿宋_GB2312"/>
          <w:color w:val="auto"/>
          <w:kern w:val="0"/>
          <w:sz w:val="32"/>
          <w:szCs w:val="32"/>
          <w:u w:val="none" w:color="auto"/>
          <w:lang w:eastAsia="zh-CN"/>
        </w:rPr>
        <w:t>为此，我中心成立了人大提案专办机制，</w:t>
      </w:r>
      <w:r>
        <w:rPr>
          <w:rFonts w:hint="eastAsia" w:ascii="仿宋_GB2312" w:hAnsi="仿宋_GB2312" w:eastAsia="仿宋_GB2312" w:cs="仿宋_GB2312"/>
          <w:color w:val="auto"/>
          <w:sz w:val="32"/>
          <w:szCs w:val="32"/>
          <w:u w:val="none" w:color="auto"/>
          <w:lang w:eastAsia="zh-CN"/>
        </w:rPr>
        <w:t>冯向阳主任为提案办理工作第一责任人，</w:t>
      </w:r>
      <w:r>
        <w:rPr>
          <w:rFonts w:hint="eastAsia" w:ascii="仿宋_GB2312" w:hAnsi="仿宋_GB2312" w:eastAsia="仿宋_GB2312" w:cs="仿宋_GB2312"/>
          <w:color w:val="auto"/>
          <w:sz w:val="32"/>
          <w:szCs w:val="32"/>
          <w:lang w:eastAsia="zh-CN"/>
        </w:rPr>
        <w:t>黎祺瑛工会主席</w:t>
      </w:r>
      <w:r>
        <w:rPr>
          <w:rFonts w:hint="eastAsia" w:ascii="仿宋_GB2312" w:hAnsi="仿宋_GB2312" w:eastAsia="仿宋_GB2312" w:cs="仿宋_GB2312"/>
          <w:color w:val="auto"/>
          <w:sz w:val="32"/>
          <w:szCs w:val="32"/>
          <w:u w:val="none" w:color="auto"/>
          <w:lang w:eastAsia="zh-CN"/>
        </w:rPr>
        <w:t>为直接</w:t>
      </w:r>
      <w:r>
        <w:rPr>
          <w:rFonts w:hint="eastAsia" w:ascii="仿宋_GB2312" w:hAnsi="仿宋_GB2312" w:eastAsia="仿宋_GB2312" w:cs="仿宋_GB2312"/>
          <w:sz w:val="32"/>
          <w:szCs w:val="32"/>
          <w:u w:val="none" w:color="auto"/>
          <w:lang w:eastAsia="zh-CN"/>
        </w:rPr>
        <w:t>负责人，负责办理工作的总体和阶段性安排，抓好研究、协调和督办；张栋为提案办理专员负责建议提案的分办、催办、汇总、报送和协调、服务工作。各科室在分管领导带领下，安排好具体办理工作计划，指定具体承办人，认真落实办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none" w:color="auto"/>
          <w:lang w:eastAsia="zh-CN"/>
        </w:rPr>
        <w:t>就</w:t>
      </w:r>
      <w:r>
        <w:rPr>
          <w:rFonts w:hint="eastAsia" w:ascii="仿宋_GB2312" w:hAnsi="仿宋_GB2312" w:eastAsia="仿宋_GB2312" w:cs="仿宋_GB2312"/>
          <w:sz w:val="32"/>
          <w:szCs w:val="32"/>
          <w:lang w:eastAsia="zh-CN"/>
        </w:rPr>
        <w:t>举办“小微企业创业展会”建议提案，</w:t>
      </w:r>
      <w:r>
        <w:rPr>
          <w:rFonts w:hint="eastAsia" w:ascii="仿宋_GB2312" w:hAnsi="仿宋_GB2312" w:eastAsia="仿宋_GB2312" w:cs="仿宋_GB2312"/>
          <w:color w:val="auto"/>
          <w:sz w:val="32"/>
          <w:szCs w:val="32"/>
          <w:lang w:eastAsia="zh-CN"/>
        </w:rPr>
        <w:t>我中心牵头与工信局、发改局、科创局、金融工作局、人力资源局开展了多次沟通协调，现就提案中</w:t>
      </w:r>
      <w:r>
        <w:rPr>
          <w:rFonts w:hint="eastAsia" w:ascii="仿宋_GB2312" w:hAnsi="仿宋_GB2312" w:eastAsia="仿宋_GB2312" w:cs="仿宋_GB2312"/>
          <w:sz w:val="32"/>
          <w:szCs w:val="32"/>
          <w:lang w:eastAsia="zh-CN"/>
        </w:rPr>
        <w:t>有关的建议说明如下：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关于人才流失严重、用工难的问题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答复：我区通过制定政策、推出人才住房、开展招聘活动、打造福田千智产业园等多种举措，解决企业人才流失、用工难的问题。</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楷体" w:hAnsi="楷体" w:eastAsia="楷体" w:cs="楷体"/>
          <w:sz w:val="32"/>
          <w:szCs w:val="32"/>
          <w:lang w:val="en-US" w:eastAsia="zh-CN"/>
        </w:rPr>
        <w:t>制定政策。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sz w:val="32"/>
          <w:szCs w:val="32"/>
          <w:lang w:val="en-US" w:eastAsia="zh-CN"/>
        </w:rPr>
        <w:t>我区制定多项政策，解决企业人才问题。一是</w:t>
      </w:r>
      <w:r>
        <w:rPr>
          <w:rFonts w:hint="default"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lang w:val="en-US" w:eastAsia="zh-CN"/>
        </w:rPr>
        <w:t>2019年</w:t>
      </w:r>
      <w:r>
        <w:rPr>
          <w:rFonts w:hint="default" w:ascii="仿宋_GB2312" w:hAnsi="仿宋_GB2312" w:eastAsia="仿宋_GB2312" w:cs="仿宋_GB2312"/>
          <w:sz w:val="32"/>
          <w:szCs w:val="32"/>
          <w:lang w:val="en-US" w:eastAsia="zh-CN"/>
        </w:rPr>
        <w:t>《深圳市福田区支持科技创新发展若干政策》中新增“核心人才综合险”，对辖区企业或研发机构保险费用实际支出的80%，总额不超过40万元。对区内国家高新技术企业的科研人员的意外、重大疾病、疾病医疗费用等方面</w:t>
      </w:r>
      <w:r>
        <w:rPr>
          <w:rFonts w:hint="eastAsia" w:ascii="仿宋_GB2312" w:hAnsi="仿宋_GB2312" w:eastAsia="仿宋_GB2312" w:cs="仿宋_GB2312"/>
          <w:sz w:val="32"/>
          <w:szCs w:val="32"/>
          <w:lang w:val="en-US" w:eastAsia="zh-CN"/>
        </w:rPr>
        <w:t>给予</w:t>
      </w:r>
      <w:r>
        <w:rPr>
          <w:rFonts w:hint="default" w:ascii="仿宋_GB2312" w:hAnsi="仿宋_GB2312" w:eastAsia="仿宋_GB2312" w:cs="仿宋_GB2312"/>
          <w:sz w:val="32"/>
          <w:szCs w:val="32"/>
          <w:lang w:val="en-US" w:eastAsia="zh-CN"/>
        </w:rPr>
        <w:t>保障。国家高新技术企业核心人才综合保险补贴项目为我区首创，是在“保险+政府”科技保险新模式下探索出来的，是科技金融领域的一项创新改革。</w:t>
      </w:r>
      <w:r>
        <w:rPr>
          <w:rFonts w:hint="eastAsia" w:ascii="仿宋_GB2312" w:hAnsi="仿宋_GB2312" w:eastAsia="仿宋_GB2312" w:cs="仿宋_GB2312"/>
          <w:sz w:val="32"/>
          <w:szCs w:val="32"/>
          <w:lang w:val="en-US" w:eastAsia="zh-CN"/>
        </w:rPr>
        <w:t>二是新增上市后备力量支持、上市企业年费支持、地方金融总部激励奖等，加强对公司高管及骨干团队激励，帮助企业留住核心人才。</w:t>
      </w:r>
      <w:r>
        <w:rPr>
          <w:rFonts w:hint="eastAsia" w:ascii="仿宋_GB2312" w:hAnsi="仿宋_GB2312" w:eastAsia="仿宋_GB2312" w:cs="仿宋_GB2312"/>
          <w:b w:val="0"/>
          <w:bCs w:val="0"/>
          <w:i w:val="0"/>
          <w:iCs w:val="0"/>
          <w:sz w:val="32"/>
          <w:szCs w:val="32"/>
          <w:lang w:val="en-US" w:eastAsia="zh-CN"/>
        </w:rPr>
        <w:t>三是</w:t>
      </w:r>
      <w:r>
        <w:rPr>
          <w:rFonts w:hint="eastAsia" w:ascii="仿宋_GB2312" w:hAnsi="仿宋_GB2312" w:eastAsia="仿宋_GB2312" w:cs="仿宋_GB2312"/>
          <w:sz w:val="32"/>
          <w:szCs w:val="32"/>
          <w:lang w:val="en-US" w:eastAsia="zh-CN"/>
        </w:rPr>
        <w:t>制定《香蜜湖金融科技创新奖评选办法》及有关评审工作方案，</w:t>
      </w:r>
      <w:r>
        <w:rPr>
          <w:rFonts w:hint="eastAsia" w:ascii="仿宋_GB2312" w:hAnsi="仿宋_GB2312" w:eastAsia="仿宋_GB2312" w:cs="仿宋_GB2312"/>
          <w:b w:val="0"/>
          <w:bCs w:val="0"/>
          <w:i w:val="0"/>
          <w:iCs w:val="0"/>
          <w:sz w:val="32"/>
          <w:szCs w:val="32"/>
          <w:lang w:val="en-US" w:eastAsia="zh-CN"/>
        </w:rPr>
        <w:t>每年安排1000万元奖励，鼓励金融科技场景应用创新。四是设立《扶持金融专业人才能力提升》专项资金，核定支持符合申报条件人员224名，共拨付支持资金224万元。五是制定《深圳市福田区金融科技青年人才培训计划》和《福田区金融科技青年人才培训基地认定及实习生名额分配评审方案（试行）》，将香港青年纳入区金融科技青年人才培训计划，支持港人港企创新创业。2018年授牌安信证券等37家辖区企业金融科技青年人才培训基地，核准620个实习岗位数,经区产业发展资金联席会审议，为第一批青年人才培训基地共18家企业152个实习生发放实习补贴，共计672650元，鼓励辖区金融科技企业为香港青年和在校大学生提供优质实习岗位，加强对港合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val="0"/>
          <w:i w:val="0"/>
          <w:iCs w:val="0"/>
          <w:sz w:val="32"/>
          <w:szCs w:val="32"/>
          <w:lang w:val="en-US" w:eastAsia="zh-CN"/>
        </w:rPr>
      </w:pPr>
      <w:r>
        <w:rPr>
          <w:rFonts w:hint="eastAsia" w:ascii="楷体" w:hAnsi="楷体" w:eastAsia="楷体" w:cs="楷体"/>
          <w:b w:val="0"/>
          <w:bCs w:val="0"/>
          <w:i w:val="0"/>
          <w:iCs w:val="0"/>
          <w:sz w:val="32"/>
          <w:szCs w:val="32"/>
          <w:lang w:val="en-US" w:eastAsia="zh-CN"/>
        </w:rPr>
        <w:t>（二）推出企业人才住房。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我区从2013年起，推出了企业人才住房配售（配租）政策，制定《产业人才租赁住房配租认定标准》和《分配方案》，解决企业人才住房问题。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rPr>
          <w:rFonts w:hint="eastAsia" w:ascii="楷体" w:hAnsi="楷体" w:eastAsia="楷体" w:cs="楷体"/>
          <w:color w:val="auto"/>
          <w:sz w:val="32"/>
          <w:szCs w:val="32"/>
          <w:lang w:val="en-US" w:eastAsia="zh-CN"/>
        </w:rPr>
      </w:pPr>
      <w:r>
        <w:rPr>
          <w:rFonts w:hint="eastAsia" w:ascii="楷体" w:hAnsi="楷体" w:eastAsia="楷体" w:cs="楷体"/>
          <w:sz w:val="32"/>
          <w:szCs w:val="32"/>
          <w:lang w:val="en-US" w:eastAsia="zh-CN"/>
        </w:rPr>
        <w:t>（三）开展</w:t>
      </w:r>
      <w:r>
        <w:rPr>
          <w:rFonts w:hint="eastAsia" w:ascii="楷体" w:hAnsi="楷体" w:eastAsia="楷体" w:cs="楷体"/>
          <w:color w:val="auto"/>
          <w:sz w:val="32"/>
          <w:szCs w:val="32"/>
          <w:lang w:val="en-US" w:eastAsia="zh-CN"/>
        </w:rPr>
        <w:t>校园招聘活动。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2009年起，区人力资源局组织辖区重点企业赴高校集中的城市开展“优才中国形”校园招聘活动。今年5月初，启动“优才中国形”校园招聘准备工作，通过走访企业、网上交流等方式，发动辖区企业积极报名参加。目前已完成“优才中国形”校园招聘工作方案、确定出行时间、招聘站点的企业调查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（三）打造福田千智产业园</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福田千智产业园已正式开园运营，通过引进专家高层次人才，汇聚人才优势与产业发展深度结合，推动技术研发与重点产业领域合作。</w:t>
      </w:r>
      <w:bookmarkStart w:id="0" w:name="_GoBack"/>
    </w:p>
    <w:bookmarkEnd w:id="0"/>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关于融资难的问题</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复：2019年福田区的产业资金政策突显“多元”的特点，发挥资金撬动作用，鼓励企业拓宽融资渠道，增加股权投资、债券融资、知识产权入股等支持条款，引导银行贷款、创投基金、企业债券等多元化社会化资金参与产业发展，支持不同发展阶段企业融资需求，支持企业创新发展和做大做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出台《福田区支持新兴产业股权投资和资助若干措施》（福府办规[2018]12号），对单个项目的股权投资和资助资金支持最高2000万元。经受理部门申请并报区产业发展联席会批准，对市产业主管部门按股权投资和资助方式扶持的区外企业给予最高450万元配套资助。将股权投资和资助措施纳入全区重点改革项目，2018年已受理3家企业股权投资和资助申请。</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000000"/>
          <w:sz w:val="32"/>
          <w:szCs w:val="32"/>
          <w:highlight w:val="none"/>
          <w:u w:val="none" w:color="auto"/>
          <w:lang w:val="en-US" w:eastAsia="zh-CN"/>
        </w:rPr>
      </w:pPr>
      <w:r>
        <w:rPr>
          <w:rFonts w:hint="eastAsia" w:ascii="仿宋_GB2312" w:hAnsi="仿宋_GB2312" w:eastAsia="仿宋_GB2312" w:cs="仿宋_GB2312"/>
          <w:sz w:val="32"/>
          <w:szCs w:val="32"/>
          <w:lang w:val="en-US" w:eastAsia="zh-CN"/>
        </w:rPr>
        <w:t>二是修订《深圳市福田区支持金融业发展若干政策》，鼓励辖区企业利用债券融资工具开展境内外融资，鼓励金融机构和金融服务机构开展融资服务，鼓励辖区银行业金融机构、保险公司向福田区中小微企业提供贷款或保险服务，降低中小微企业的融资成本，解决小微企业融资成本高、融资渠道少、融资难、融资贵的发展痛点，包括（一）债券融资支持。</w:t>
      </w:r>
      <w:r>
        <w:rPr>
          <w:rFonts w:hint="eastAsia" w:ascii="仿宋_GB2312" w:hAnsi="仿宋_GB2312" w:eastAsia="仿宋_GB2312" w:cs="仿宋_GB2312"/>
          <w:b w:val="0"/>
          <w:bCs w:val="0"/>
          <w:color w:val="000000"/>
          <w:sz w:val="32"/>
          <w:szCs w:val="32"/>
          <w:highlight w:val="none"/>
          <w:u w:val="none" w:color="auto"/>
        </w:rPr>
        <w:t>对</w:t>
      </w:r>
      <w:r>
        <w:rPr>
          <w:rFonts w:hint="eastAsia" w:ascii="仿宋_GB2312" w:hAnsi="仿宋_GB2312" w:eastAsia="仿宋_GB2312" w:cs="仿宋_GB2312"/>
          <w:b w:val="0"/>
          <w:bCs w:val="0"/>
          <w:color w:val="000000"/>
          <w:sz w:val="32"/>
          <w:szCs w:val="32"/>
          <w:highlight w:val="none"/>
          <w:u w:val="none" w:color="auto"/>
          <w:lang w:val="en-US" w:eastAsia="zh-CN"/>
        </w:rPr>
        <w:t>通过债券工具完成融资的企业，按照</w:t>
      </w:r>
      <w:r>
        <w:rPr>
          <w:rFonts w:hint="eastAsia" w:ascii="仿宋_GB2312" w:hAnsi="仿宋_GB2312" w:eastAsia="仿宋_GB2312" w:cs="仿宋_GB2312"/>
          <w:b w:val="0"/>
          <w:bCs w:val="0"/>
          <w:color w:val="000000"/>
          <w:sz w:val="32"/>
          <w:szCs w:val="32"/>
          <w:highlight w:val="none"/>
          <w:u w:val="none" w:color="auto"/>
        </w:rPr>
        <w:t>发行规模的2%、年度最高200万元给予支持；对</w:t>
      </w:r>
      <w:r>
        <w:rPr>
          <w:rFonts w:hint="eastAsia" w:ascii="仿宋_GB2312" w:hAnsi="仿宋_GB2312" w:eastAsia="仿宋_GB2312" w:cs="仿宋_GB2312"/>
          <w:b w:val="0"/>
          <w:bCs w:val="0"/>
          <w:color w:val="000000"/>
          <w:sz w:val="32"/>
          <w:szCs w:val="32"/>
          <w:highlight w:val="none"/>
          <w:u w:val="none" w:color="auto"/>
          <w:lang w:val="en-US" w:eastAsia="zh-CN"/>
        </w:rPr>
        <w:t>协助完成债券融资的金融机构、金融服务机构、债券认证及评估机构等，</w:t>
      </w:r>
      <w:r>
        <w:rPr>
          <w:rFonts w:hint="eastAsia" w:ascii="仿宋_GB2312" w:hAnsi="仿宋_GB2312" w:eastAsia="仿宋_GB2312" w:cs="仿宋_GB2312"/>
          <w:b w:val="0"/>
          <w:bCs w:val="0"/>
          <w:color w:val="000000"/>
          <w:sz w:val="32"/>
          <w:szCs w:val="32"/>
          <w:highlight w:val="none"/>
          <w:u w:val="none" w:color="auto"/>
        </w:rPr>
        <w:t>按每机构每项目10万元的标准给予支持</w:t>
      </w:r>
      <w:r>
        <w:rPr>
          <w:rFonts w:hint="eastAsia" w:ascii="仿宋_GB2312" w:hAnsi="仿宋_GB2312" w:eastAsia="仿宋_GB2312" w:cs="仿宋_GB2312"/>
          <w:b w:val="0"/>
          <w:bCs w:val="0"/>
          <w:color w:val="000000"/>
          <w:sz w:val="32"/>
          <w:szCs w:val="32"/>
          <w:highlight w:val="none"/>
          <w:u w:val="none" w:color="auto"/>
          <w:lang w:eastAsia="zh-CN"/>
        </w:rPr>
        <w:t>。</w:t>
      </w:r>
      <w:r>
        <w:rPr>
          <w:rFonts w:hint="eastAsia" w:ascii="仿宋_GB2312" w:hAnsi="仿宋_GB2312" w:eastAsia="仿宋_GB2312" w:cs="仿宋_GB2312"/>
          <w:b w:val="0"/>
          <w:bCs w:val="0"/>
          <w:color w:val="000000"/>
          <w:sz w:val="32"/>
          <w:szCs w:val="32"/>
          <w:highlight w:val="none"/>
          <w:u w:val="none" w:color="auto"/>
          <w:lang w:val="en-US" w:eastAsia="zh-CN"/>
        </w:rPr>
        <w:t>2018年债券融资项目22个项目3169万元，促进企业完成372亿元的融资规模，促进民营企业、小微企业利用债券融资工具，切实降低企业融资成本，促进金融服务实体经济。（二）贷款风险补偿。对辖区银行业金融机构获得深圳市中小微企业贷款风险补偿和动产融资贷款风险补偿的项目，按照所获支持金额的20%给予配套支持。（三）专项保险支持。</w:t>
      </w:r>
      <w:r>
        <w:rPr>
          <w:rFonts w:hint="eastAsia" w:ascii="仿宋_GB2312" w:hAnsi="仿宋_GB2312" w:eastAsia="仿宋_GB2312" w:cs="仿宋_GB2312"/>
          <w:b w:val="0"/>
          <w:bCs w:val="0"/>
          <w:color w:val="000000"/>
          <w:sz w:val="32"/>
          <w:szCs w:val="32"/>
          <w:highlight w:val="none"/>
          <w:u w:val="none" w:color="auto"/>
        </w:rPr>
        <w:t>对保险公司向福田区中小微企业提供贷款保证保险的或向福田区企事业单位提供责任险的，</w:t>
      </w:r>
      <w:r>
        <w:rPr>
          <w:rFonts w:hint="eastAsia" w:ascii="仿宋_GB2312" w:hAnsi="仿宋_GB2312" w:eastAsia="仿宋_GB2312" w:cs="仿宋_GB2312"/>
          <w:b w:val="0"/>
          <w:bCs w:val="0"/>
          <w:color w:val="000000"/>
          <w:sz w:val="32"/>
          <w:szCs w:val="32"/>
          <w:highlight w:val="none"/>
          <w:u w:val="none" w:color="auto"/>
          <w:lang w:val="en-US" w:eastAsia="zh-CN"/>
        </w:rPr>
        <w:t>按最高为保费10%的额度，给予年度不超过100万元的支持。2018年对中国平安财产保险股份有限公司深圳分公司、中国太平洋财产保险股份有限公司深圳分公司给予合计200万元支持，受惠约1300家中小企业。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000000"/>
          <w:sz w:val="32"/>
          <w:highlight w:val="none"/>
          <w:u w:val="none" w:color="auto"/>
          <w:lang w:val="en-US" w:eastAsia="zh-CN"/>
        </w:rPr>
      </w:pPr>
      <w:r>
        <w:rPr>
          <w:rFonts w:hint="eastAsia" w:ascii="仿宋_GB2312" w:hAnsi="仿宋_GB2312" w:eastAsia="仿宋_GB2312" w:cs="仿宋_GB2312"/>
          <w:sz w:val="32"/>
          <w:szCs w:val="32"/>
          <w:lang w:val="en-US" w:eastAsia="zh-CN"/>
        </w:rPr>
        <w:t>三是</w:t>
      </w:r>
      <w:r>
        <w:rPr>
          <w:rFonts w:hint="eastAsia" w:ascii="仿宋_GB2312" w:hAnsi="仿宋_GB2312" w:eastAsia="仿宋_GB2312" w:cs="仿宋_GB2312"/>
          <w:b w:val="0"/>
          <w:bCs w:val="0"/>
          <w:color w:val="000000"/>
          <w:sz w:val="32"/>
          <w:szCs w:val="32"/>
          <w:highlight w:val="none"/>
          <w:u w:val="none" w:color="auto"/>
          <w:lang w:val="en-US" w:eastAsia="zh-CN"/>
        </w:rPr>
        <w:t>鼓励企业直接融资，培育上市后备企业，落实企业债务“直通车”机制，打造多样化债券市场。在《深圳市福田区支持企业上市若干政策》中，对我区</w:t>
      </w:r>
      <w:r>
        <w:rPr>
          <w:rFonts w:hint="eastAsia" w:ascii="仿宋_GB2312" w:hAnsi="仿宋_GB2312" w:eastAsia="仿宋_GB2312" w:cs="仿宋_GB2312"/>
          <w:b w:val="0"/>
          <w:bCs w:val="0"/>
          <w:color w:val="000000"/>
          <w:sz w:val="32"/>
          <w:highlight w:val="none"/>
          <w:u w:val="none" w:color="auto"/>
        </w:rPr>
        <w:t>完成辅导备案、完成上市辅导、境内外上市的企业，</w:t>
      </w:r>
      <w:r>
        <w:rPr>
          <w:rFonts w:hint="eastAsia" w:ascii="仿宋_GB2312" w:hAnsi="仿宋_GB2312" w:eastAsia="仿宋_GB2312" w:cs="仿宋_GB2312"/>
          <w:b w:val="0"/>
          <w:bCs w:val="0"/>
          <w:color w:val="000000"/>
          <w:sz w:val="32"/>
          <w:highlight w:val="none"/>
          <w:u w:val="none" w:color="auto"/>
          <w:lang w:eastAsia="zh-CN"/>
        </w:rPr>
        <w:t>上市后备企业、</w:t>
      </w:r>
      <w:r>
        <w:rPr>
          <w:rFonts w:hint="eastAsia" w:ascii="仿宋_GB2312" w:hAnsi="仿宋_GB2312" w:eastAsia="仿宋_GB2312" w:cs="仿宋_GB2312"/>
          <w:b w:val="0"/>
          <w:bCs w:val="0"/>
          <w:color w:val="000000"/>
          <w:sz w:val="32"/>
          <w:highlight w:val="none"/>
          <w:u w:val="none" w:color="auto"/>
        </w:rPr>
        <w:t>上市服务机构</w:t>
      </w:r>
      <w:r>
        <w:rPr>
          <w:rFonts w:hint="eastAsia" w:ascii="仿宋_GB2312" w:hAnsi="仿宋_GB2312" w:eastAsia="仿宋_GB2312" w:cs="仿宋_GB2312"/>
          <w:b w:val="0"/>
          <w:bCs w:val="0"/>
          <w:color w:val="000000"/>
          <w:sz w:val="32"/>
          <w:highlight w:val="none"/>
          <w:u w:val="none" w:color="auto"/>
          <w:lang w:val="en-US" w:eastAsia="zh-CN"/>
        </w:rPr>
        <w:t>给予政策支持，其中对获得知名投资机构投资3000万元以上的企业，依条件给予最高100万元支持</w:t>
      </w:r>
      <w:r>
        <w:rPr>
          <w:rFonts w:hint="eastAsia" w:ascii="仿宋_GB2312" w:hAnsi="仿宋_GB2312" w:eastAsia="仿宋_GB2312" w:cs="仿宋_GB2312"/>
          <w:b w:val="0"/>
          <w:bCs w:val="0"/>
          <w:color w:val="000000"/>
          <w:sz w:val="32"/>
          <w:szCs w:val="32"/>
          <w:highlight w:val="none"/>
          <w:u w:val="none" w:color="auto"/>
          <w:lang w:eastAsia="zh-CN"/>
        </w:rPr>
        <w:t>。</w:t>
      </w:r>
      <w:r>
        <w:rPr>
          <w:rFonts w:hint="eastAsia" w:ascii="仿宋_GB2312" w:hAnsi="仿宋_GB2312" w:eastAsia="仿宋_GB2312" w:cs="仿宋_GB2312"/>
          <w:b w:val="0"/>
          <w:bCs w:val="0"/>
          <w:color w:val="000000"/>
          <w:sz w:val="32"/>
          <w:highlight w:val="none"/>
          <w:u w:val="none" w:color="auto"/>
        </w:rPr>
        <w:t>对协助企业完成境内外上市的证券公司、会计师事务所、律师事务所、评估机构等上市服务机构，给予每机构每项目最高50万元的服务费用支持。</w:t>
      </w:r>
      <w:r>
        <w:rPr>
          <w:rFonts w:hint="eastAsia" w:ascii="仿宋_GB2312" w:hAnsi="仿宋_GB2312" w:eastAsia="仿宋_GB2312" w:cs="仿宋_GB2312"/>
          <w:b w:val="0"/>
          <w:bCs w:val="0"/>
          <w:color w:val="000000"/>
          <w:sz w:val="32"/>
          <w:highlight w:val="none"/>
          <w:u w:val="none" w:color="auto"/>
          <w:lang w:val="en-US" w:eastAsia="zh-CN"/>
        </w:rPr>
        <w:t>在《深圳市福田区支持企业债券“直通车”机制若干政策》中，对我区经备案并成功发行企业债券的企业基于贴息以及发行费用方面的政策支持。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000000"/>
          <w:sz w:val="32"/>
          <w:highlight w:val="none"/>
          <w:u w:val="none" w:color="auto"/>
          <w:lang w:val="en-US" w:eastAsia="zh-CN"/>
        </w:rPr>
        <w:t>四是</w:t>
      </w:r>
      <w:r>
        <w:rPr>
          <w:rFonts w:hint="eastAsia" w:ascii="仿宋_GB2312" w:hAnsi="仿宋_GB2312" w:eastAsia="仿宋_GB2312" w:cs="仿宋_GB2312"/>
          <w:sz w:val="32"/>
          <w:szCs w:val="32"/>
          <w:lang w:val="en-US" w:eastAsia="zh-CN"/>
        </w:rPr>
        <w:t>采用科技金融信贷的方式扶持中、小、微科技企业。通过政府与金融机构合作，由政府为企业提供贴息贴保的方式，引导金融机构为符合条件的科技企业提供“孵化</w:t>
      </w:r>
      <w:r>
        <w:rPr>
          <w:rFonts w:hint="eastAsia" w:ascii="仿宋_GB2312" w:hAnsi="仿宋_GB2312" w:eastAsia="仿宋_GB2312" w:cs="仿宋_GB2312"/>
          <w:color w:val="auto"/>
          <w:sz w:val="32"/>
          <w:szCs w:val="32"/>
          <w:lang w:val="en-US" w:eastAsia="zh-CN"/>
        </w:rPr>
        <w:t>贷”、“成长贷”和“知识产权质押”等低担保、低抵押贷款。中小科技企业通过政府贴息贴保，获得低成本贷款。同时政府通过推荐科技企业，借助银行的尽职调查，能更准确、详细掌握科技企业的实际情况。目前合作银行已达到29家，基本覆盖市场上的商业银行。由于引入竞争机制，促使银行给企业提供更优质服务，让企业更容易获得贷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b w:val="0"/>
          <w:bCs w:val="0"/>
          <w:color w:val="000000"/>
          <w:sz w:val="32"/>
          <w:highlight w:val="none"/>
          <w:u w:val="none" w:color="auto"/>
          <w:lang w:val="en-US" w:eastAsia="zh-CN"/>
        </w:rPr>
      </w:pPr>
      <w:r>
        <w:rPr>
          <w:rFonts w:hint="eastAsia" w:ascii="仿宋_GB2312" w:hAnsi="仿宋_GB2312" w:eastAsia="仿宋_GB2312" w:cs="仿宋_GB2312"/>
          <w:b w:val="0"/>
          <w:bCs w:val="0"/>
          <w:color w:val="000000"/>
          <w:sz w:val="32"/>
          <w:highlight w:val="none"/>
          <w:u w:val="none" w:color="auto"/>
          <w:lang w:val="en-US" w:eastAsia="zh-CN"/>
        </w:rPr>
        <w:t>五是</w:t>
      </w:r>
      <w:r>
        <w:rPr>
          <w:rFonts w:hint="eastAsia" w:ascii="仿宋_GB2312" w:hAnsi="仿宋_GB2312" w:eastAsia="仿宋_GB2312" w:cs="仿宋_GB2312"/>
          <w:sz w:val="32"/>
          <w:szCs w:val="32"/>
          <w:lang w:val="en-US" w:eastAsia="zh-CN"/>
        </w:rPr>
        <w:t>召开融资论坛活动，规范中小微企业经营，提高企业融资能力。2018年11月23日，邀请深圳市创业创新金融服务平台专家在福田区会堂四楼召开“中小微企业融资服务暨战略性新兴产业政策宣讲会”，现场解答企业经营的难点和痛点问题。</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关于市场开拓难的问题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复：为更好地展示辖区企业的产品以及成果，区科技创新局在深业上城CEEC设立福田区高新技术成果交易展示中心（以下简称“高科馆”）。高科馆集成果交易、产品展示、项目招商、合作交流于一体，重点展示近年来辖区培育、招商、发展起来的国高企业的技术成果，推动辖区高新技术成果商品化、产业化、国际化以及促进不同国家、地区间的科技交流与合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关于成本控制难的问题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复：福田区主要通过制定完善产业资金政策，鼓励企业发展，降低企业经营成本。一是修订完善《深圳市福田区支持招商引资若干政策》、《深圳市福田区支持金融业发展若干政策》、《深圳市福田区支持企业上市若干政策》及《深圳市福田区支持金融科技发展若干措施》等产业发展专项资金系列政策。二是从鼓励企业发展、鼓励市场开拓、鼓励投资、提升企业资质、提升营商环境和降低企业经营成本六个维度给予企业资金扶持。2018年共拨付产业资金约3.6亿元，涉及企业项目218个。其中，辅导备案支持、创新项目支持、青年人才培训、境内外上市支持、金融卓越贡献奖励等用于鼓励企业发展的专项资金共计拨付16207.26万元，约占支持总金额的45%；落户支持、搬迁安置支持、运营经费支持、上市服务机构支持等用于提升营商环境的专项资金共计拨付10091.16万元，约占支持总金额的28.03%；办公用房租赁支持、购房支持、装修支持、产业园项开办费支持等用于补贴降低企业经营成本，减轻企业负担的专项资金供给拨付5809.68万元，约占支持总金额的16.14%。</w:t>
      </w:r>
      <w:r>
        <w:rPr>
          <w:rFonts w:hint="eastAsia" w:ascii="仿宋_GB2312" w:hAnsi="仿宋_GB2312" w:eastAsia="仿宋_GB2312" w:cs="仿宋_GB2312"/>
          <w:color w:val="auto"/>
          <w:sz w:val="32"/>
          <w:szCs w:val="32"/>
          <w:lang w:val="en-US" w:eastAsia="zh-CN"/>
        </w:rPr>
        <w:t>三是对绿色项目、新能源企业充电设施建设、合同能源管理项目、绿</w:t>
      </w:r>
      <w:r>
        <w:rPr>
          <w:rFonts w:hint="eastAsia" w:ascii="仿宋_GB2312" w:hAnsi="仿宋_GB2312" w:eastAsia="仿宋_GB2312" w:cs="仿宋_GB2312"/>
          <w:sz w:val="32"/>
          <w:szCs w:val="32"/>
          <w:lang w:val="en-US" w:eastAsia="zh-CN"/>
        </w:rPr>
        <w:t>色专业服务、节能环保示范等项目，依条件最高给予300万元支持，降低企业绿色改造成本。</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关于产业调整、转移政策的问题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复：2018年区发改局出台《福田区落实城市基础设施供给侧结构性改革实施方案》（福府[2018]2号），破解空间资源约束，补齐公共设施短板，提升城市配套品质，打造适度超前、布局科学、功能完善、国际一流、面向未来的现代化基础设施供给体系，为小微企业创新创业活动开展提供优异环境。定期跟踪《福田区供给侧结构性改革八项倍增计划》（福府办函[2017]71号）推进落实情况，产业资金倍增、研发投入倍增、孵化平台倍增等计划如期推进。</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关于对小微企业的扶持政策的普惠难问题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答复：福田区每年召开政策宣讲会，拓展政策普惠性。2019年4月24日在深圳市会展中心举办了2019年产业资金政策宣讲会，帮助参会企业更好地了解产业资金支持项目情况，共有近2000名企业代表、商协会代表参加。各产业部门在宣讲会现场设点，提供政策咨询服务，并在官网、微信公众号、相关协会网络进行宣传解读。同时每年通过商协会，举办专场政策宣讲会，2018年共举办政策宣讲近200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i w:val="0"/>
          <w:caps w:val="0"/>
          <w:color w:val="000000"/>
          <w:spacing w:val="0"/>
          <w:sz w:val="32"/>
          <w:szCs w:val="32"/>
          <w:u w:val="none"/>
          <w:shd w:val="clear" w:color="auto" w:fill="FFFFFF"/>
          <w:lang w:val="en-US" w:eastAsia="zh-CN" w:bidi="ar-SA"/>
        </w:rPr>
      </w:pPr>
      <w:r>
        <w:rPr>
          <w:rFonts w:hint="eastAsia" w:ascii="黑体" w:hAnsi="黑体" w:eastAsia="黑体" w:cs="黑体"/>
          <w:b w:val="0"/>
          <w:bCs w:val="0"/>
          <w:i w:val="0"/>
          <w:caps w:val="0"/>
          <w:color w:val="000000"/>
          <w:spacing w:val="0"/>
          <w:sz w:val="32"/>
          <w:szCs w:val="32"/>
          <w:u w:val="none"/>
          <w:shd w:val="clear" w:color="auto" w:fill="FFFFFF"/>
          <w:lang w:val="en-US" w:eastAsia="zh-CN" w:bidi="ar-SA"/>
        </w:rPr>
        <w:t>关于</w:t>
      </w:r>
      <w:r>
        <w:rPr>
          <w:rFonts w:hint="eastAsia" w:ascii="黑体" w:hAnsi="黑体" w:eastAsia="黑体" w:cs="黑体"/>
          <w:b w:val="0"/>
          <w:bCs w:val="0"/>
          <w:i w:val="0"/>
          <w:caps w:val="0"/>
          <w:color w:val="000000"/>
          <w:spacing w:val="0"/>
          <w:sz w:val="32"/>
          <w:szCs w:val="32"/>
          <w:u w:val="none"/>
          <w:shd w:val="clear" w:color="auto" w:fill="FFFFFF"/>
          <w:lang w:eastAsia="zh-CN" w:bidi="ar-SA"/>
        </w:rPr>
        <w:t>举办“小微企业创业展会”的建议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color="auto"/>
          <w:lang w:val="en-US" w:eastAsia="zh-CN"/>
        </w:rPr>
      </w:pPr>
      <w:r>
        <w:rPr>
          <w:rFonts w:hint="eastAsia" w:ascii="仿宋_GB2312" w:hAnsi="仿宋_GB2312" w:eastAsia="仿宋_GB2312" w:cs="仿宋_GB2312"/>
          <w:sz w:val="32"/>
          <w:szCs w:val="32"/>
          <w:lang w:eastAsia="zh-CN"/>
        </w:rPr>
        <w:t>答复：企服中心修订完善《</w:t>
      </w:r>
      <w:r>
        <w:rPr>
          <w:rFonts w:hint="eastAsia" w:ascii="仿宋_GB2312" w:hAnsi="仿宋_GB2312" w:eastAsia="仿宋_GB2312" w:cs="仿宋_GB2312"/>
          <w:sz w:val="32"/>
          <w:szCs w:val="32"/>
          <w:u w:val="none" w:color="auto"/>
          <w:lang w:val="en-US" w:eastAsia="zh-CN"/>
        </w:rPr>
        <w:t>深圳市福田区支持商协会发展若干政策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color w:val="000000"/>
          <w:sz w:val="32"/>
          <w:szCs w:val="32"/>
          <w:highlight w:val="none"/>
          <w:u w:val="none" w:color="auto"/>
          <w:lang w:val="en-US" w:eastAsia="zh-CN"/>
        </w:rPr>
        <w:t>对主办、承办全国性或国际性专业展会、博览会的商协会，按活动审计核准金额的50%以下，给予最高200万元支持。</w:t>
      </w:r>
      <w:r>
        <w:rPr>
          <w:rFonts w:hint="eastAsia" w:ascii="仿宋_GB2312" w:hAnsi="仿宋_GB2312" w:eastAsia="仿宋_GB2312" w:cs="仿宋_GB2312"/>
          <w:sz w:val="32"/>
          <w:szCs w:val="32"/>
          <w:u w:val="none" w:color="auto"/>
          <w:lang w:val="en-US" w:eastAsia="zh-CN"/>
        </w:rPr>
        <w:t>对在本区主办、承办具有重大影响力的高端研讨会、峰会、重要大赛及品牌活动的商协会，按活动审计核准金额的50%以下，给予最高50万元支持。通过出台商协会支持政策，鼓励辖区商协会举办专业性、针对性、具有行业影响力的活动。企服中心依托商协会的平台，为辖区企业，尤其是中小微企业提供有针对性的服务，提振企业发展信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u w:val="none" w:color="auto"/>
          <w:lang w:val="en-US" w:eastAsia="zh-CN"/>
        </w:rPr>
      </w:pPr>
      <w:r>
        <w:rPr>
          <w:rFonts w:hint="eastAsia" w:ascii="仿宋_GB2312" w:hAnsi="仿宋_GB2312" w:eastAsia="仿宋_GB2312" w:cs="仿宋_GB2312"/>
          <w:sz w:val="32"/>
          <w:szCs w:val="32"/>
          <w:u w:val="none" w:color="auto"/>
          <w:lang w:val="en-US" w:eastAsia="zh-CN"/>
        </w:rPr>
        <w:t>为更好激发社会各界推动小微企业创新发展的热情，充分体现福田区政府对小微企业的关注，企服中心积极对接辖区相关的商协会，如深圳市小微企业发展促进会，由商协会举办相应的展会、论坛、成就展等多种有助于小微企业发展的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none" w:color="auto"/>
          <w:lang w:val="en-US" w:eastAsia="zh-CN"/>
        </w:rPr>
        <w:t>在举行大型展会的基础上，也为小微企业提供各项政府资源。企服中心依托点线世界专业服务交易中心</w:t>
      </w:r>
      <w:r>
        <w:rPr>
          <w:rFonts w:hint="eastAsia" w:ascii="仿宋_GB2312" w:hAnsi="仿宋_GB2312" w:eastAsia="仿宋_GB2312" w:cs="仿宋_GB2312"/>
          <w:b w:val="0"/>
          <w:bCs w:val="0"/>
          <w:sz w:val="32"/>
          <w:szCs w:val="32"/>
          <w:lang w:eastAsia="zh-CN"/>
        </w:rPr>
        <w:t>为企业提供企业生命周期各个环节的专业服务。</w:t>
      </w:r>
      <w:r>
        <w:rPr>
          <w:rFonts w:hint="eastAsia" w:ascii="仿宋_GB2312" w:hAnsi="仿宋_GB2312" w:eastAsia="仿宋_GB2312" w:cs="仿宋_GB2312"/>
          <w:sz w:val="32"/>
          <w:szCs w:val="32"/>
          <w:u w:val="none" w:color="auto"/>
          <w:lang w:val="en-US" w:eastAsia="zh-CN"/>
        </w:rPr>
        <w:t>一是举办创新项目路演，为企业提供推广创新项目的平台，切实为企业解决融资难、融资贵的问题。截止2018年，共助力14个项目融资2亿，其中有6家企业获得超过一千万元的投资，融资成功率超过37.5%。二是举办创新CEO实战营，每期邀请一名业界专家和一名上市公司创始人作为实践导师，针对不同行业领域的不同特性，现场讲授实战战略、演示实操方法。三是引进服务机构83家，为辖区中小微企业提供财税、会计、审计、法务、知识产权、国际商务、投融资等专业服务，设常设服务席位12个，流动服务席位100个，运行2年来共为21700人次提供法律、对外贸易等专业服务，实现企业与专业机构无缝对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感谢代表们的建议，企服中心将与其他单位根据提案内容举办“小微企业创业展会”，积极推动小微企业发展，解决小微企业发展难题。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 w:hAnsi="仿宋" w:eastAsia="仿宋" w:cs="仿宋"/>
          <w:b w:val="0"/>
          <w:bCs w:val="0"/>
          <w:kern w:val="0"/>
          <w:sz w:val="32"/>
          <w:szCs w:val="32"/>
          <w:u w:val="none" w:color="auto"/>
          <w:lang w:val="en-US" w:eastAsia="zh-CN"/>
        </w:rPr>
      </w:pPr>
      <w:r>
        <w:rPr>
          <w:rFonts w:hint="eastAsia" w:ascii="仿宋" w:hAnsi="仿宋" w:eastAsia="仿宋" w:cs="仿宋"/>
          <w:b w:val="0"/>
          <w:bCs w:val="0"/>
          <w:kern w:val="0"/>
          <w:sz w:val="32"/>
          <w:szCs w:val="32"/>
          <w:u w:val="none" w:color="auto"/>
          <w:lang w:val="en-US" w:eastAsia="zh-CN"/>
        </w:rPr>
        <w:t xml:space="preserve">                          企业发展服务中心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center"/>
        <w:textAlignment w:val="auto"/>
        <w:outlineLvl w:val="9"/>
        <w:rPr>
          <w:rFonts w:hint="eastAsia" w:ascii="仿宋_GB2312" w:hAnsi="仿宋_GB2312" w:eastAsia="仿宋_GB2312" w:cs="仿宋_GB2312"/>
          <w:sz w:val="32"/>
          <w:szCs w:val="32"/>
          <w:lang w:eastAsia="zh-CN"/>
        </w:rPr>
      </w:pPr>
      <w:r>
        <w:rPr>
          <w:rFonts w:hint="eastAsia" w:ascii="仿宋" w:hAnsi="仿宋" w:eastAsia="仿宋" w:cs="仿宋"/>
          <w:b w:val="0"/>
          <w:bCs w:val="0"/>
          <w:kern w:val="0"/>
          <w:sz w:val="32"/>
          <w:szCs w:val="32"/>
          <w:u w:val="none" w:color="auto"/>
          <w:lang w:val="en-US" w:eastAsia="zh-CN"/>
        </w:rPr>
        <w:t xml:space="preserve">                           2019年6月6日</w:t>
      </w:r>
    </w:p>
    <w:sectPr>
      <w:headerReference r:id="rId3" w:type="default"/>
      <w:footerReference r:id="rId5"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10853B-71E4-4C26-94E3-CDE6D43205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2288C0A5-7C59-4BFF-926F-0A46E1355BF2}"/>
  </w:font>
  <w:font w:name="方正小标宋简体">
    <w:panose1 w:val="02000000000000000000"/>
    <w:charset w:val="86"/>
    <w:family w:val="auto"/>
    <w:pitch w:val="default"/>
    <w:sig w:usb0="00000001" w:usb1="08000000" w:usb2="00000000" w:usb3="00000000" w:csb0="00040000" w:csb1="00000000"/>
    <w:embedRegular r:id="rId3" w:fontKey="{2B90E5B7-7FF2-4CC1-B27A-A46CCF22C8D1}"/>
  </w:font>
  <w:font w:name="楷体">
    <w:panose1 w:val="02010609060101010101"/>
    <w:charset w:val="86"/>
    <w:family w:val="auto"/>
    <w:pitch w:val="default"/>
    <w:sig w:usb0="800002BF" w:usb1="38CF7CFA" w:usb2="00000016" w:usb3="00000000" w:csb0="00040001" w:csb1="00000000"/>
    <w:embedRegular r:id="rId4" w:fontKey="{D07B5CE5-F43B-4E28-BA66-A64F4C27F020}"/>
  </w:font>
  <w:font w:name="仿宋">
    <w:panose1 w:val="02010609060101010101"/>
    <w:charset w:val="86"/>
    <w:family w:val="auto"/>
    <w:pitch w:val="default"/>
    <w:sig w:usb0="800002BF" w:usb1="38CF7CFA" w:usb2="00000016" w:usb3="00000000" w:csb0="00040001" w:csb1="00000000"/>
    <w:embedRegular r:id="rId5" w:fontKey="{F9EE1D69-23CF-45AF-A87B-99CACEE44E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20" w:rightChars="100"/>
      <w:jc w:val="right"/>
    </w:pPr>
    <w:r>
      <w:rPr>
        <w:rStyle w:val="6"/>
        <w:rFonts w:hint="eastAsia" w:ascii="宋体" w:hAnsi="宋体"/>
        <w:sz w:val="28"/>
        <w:szCs w:val="28"/>
      </w:rPr>
      <w:t xml:space="preserve">— </w:t>
    </w:r>
    <w:r>
      <w:rPr>
        <w:rFonts w:hint="eastAsia" w:ascii="宋体" w:hAnsi="宋体"/>
        <w:sz w:val="28"/>
        <w:szCs w:val="28"/>
      </w:rPr>
      <w:fldChar w:fldCharType="begin"/>
    </w:r>
    <w:r>
      <w:rPr>
        <w:rStyle w:val="6"/>
        <w:rFonts w:hint="eastAsia"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20</w:t>
    </w:r>
    <w:r>
      <w:rPr>
        <w:rFonts w:hint="eastAsia" w:ascii="宋体" w:hAnsi="宋体"/>
        <w:sz w:val="28"/>
        <w:szCs w:val="28"/>
      </w:rPr>
      <w:fldChar w:fldCharType="end"/>
    </w:r>
    <w:r>
      <w:rPr>
        <w:rStyle w:val="6"/>
        <w:rFonts w:hint="eastAsia"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20" w:rightChars="100"/>
    </w:pPr>
    <w:r>
      <w:rPr>
        <w:rStyle w:val="6"/>
        <w:rFonts w:hint="eastAsia" w:ascii="宋体" w:hAnsi="宋体"/>
        <w:sz w:val="28"/>
        <w:szCs w:val="28"/>
      </w:rPr>
      <w:t xml:space="preserve">— </w:t>
    </w:r>
    <w:r>
      <w:rPr>
        <w:rFonts w:hint="eastAsia" w:ascii="宋体" w:hAnsi="宋体"/>
        <w:sz w:val="28"/>
        <w:szCs w:val="28"/>
      </w:rPr>
      <w:fldChar w:fldCharType="begin"/>
    </w:r>
    <w:r>
      <w:rPr>
        <w:rStyle w:val="6"/>
        <w:rFonts w:hint="eastAsia" w:ascii="宋体" w:hAnsi="宋体"/>
        <w:sz w:val="28"/>
        <w:szCs w:val="28"/>
      </w:rPr>
      <w:instrText xml:space="preserve">PAGE  </w:instrText>
    </w:r>
    <w:r>
      <w:rPr>
        <w:rFonts w:ascii="宋体" w:hAnsi="宋体"/>
        <w:sz w:val="28"/>
        <w:szCs w:val="28"/>
      </w:rPr>
      <w:fldChar w:fldCharType="separate"/>
    </w:r>
    <w:r>
      <w:rPr>
        <w:rStyle w:val="6"/>
        <w:rFonts w:ascii="宋体" w:hAnsi="宋体"/>
        <w:sz w:val="28"/>
        <w:szCs w:val="28"/>
      </w:rPr>
      <w:t>20</w:t>
    </w:r>
    <w:r>
      <w:rPr>
        <w:rFonts w:hint="eastAsia" w:ascii="宋体" w:hAnsi="宋体"/>
        <w:sz w:val="28"/>
        <w:szCs w:val="28"/>
      </w:rPr>
      <w:fldChar w:fldCharType="end"/>
    </w:r>
    <w:r>
      <w:rPr>
        <w:rStyle w:val="6"/>
        <w:rFonts w:hint="eastAsia" w:ascii="宋体" w:hAnsi="宋体"/>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20054"/>
    <w:multiLevelType w:val="singleLevel"/>
    <w:tmpl w:val="96B20054"/>
    <w:lvl w:ilvl="0" w:tentative="0">
      <w:start w:val="1"/>
      <w:numFmt w:val="chineseCounting"/>
      <w:suff w:val="nothing"/>
      <w:lvlText w:val="%1、"/>
      <w:lvlJc w:val="left"/>
      <w:rPr>
        <w:rFonts w:hint="eastAsia"/>
      </w:rPr>
    </w:lvl>
  </w:abstractNum>
  <w:abstractNum w:abstractNumId="1">
    <w:nsid w:val="62BCD1A5"/>
    <w:multiLevelType w:val="singleLevel"/>
    <w:tmpl w:val="62BCD1A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xNzQ0NWMxYWRhNjU2NDRmMDMyOWMyNmI0MTI0ODQifQ=="/>
  </w:docVars>
  <w:rsids>
    <w:rsidRoot w:val="5765408B"/>
    <w:rsid w:val="00E81CEC"/>
    <w:rsid w:val="01C67D30"/>
    <w:rsid w:val="01CB6402"/>
    <w:rsid w:val="022910A6"/>
    <w:rsid w:val="02C971AA"/>
    <w:rsid w:val="03EA617C"/>
    <w:rsid w:val="084051E6"/>
    <w:rsid w:val="09017DC8"/>
    <w:rsid w:val="0A29611A"/>
    <w:rsid w:val="0B1932AE"/>
    <w:rsid w:val="0CC94CD8"/>
    <w:rsid w:val="0E281931"/>
    <w:rsid w:val="0F67022D"/>
    <w:rsid w:val="0F775A32"/>
    <w:rsid w:val="101D6B7E"/>
    <w:rsid w:val="104001B4"/>
    <w:rsid w:val="10A220CA"/>
    <w:rsid w:val="10FF49A6"/>
    <w:rsid w:val="11041809"/>
    <w:rsid w:val="11597E63"/>
    <w:rsid w:val="12EB6E26"/>
    <w:rsid w:val="13BF472C"/>
    <w:rsid w:val="13D22EDC"/>
    <w:rsid w:val="17155928"/>
    <w:rsid w:val="17FF0F7C"/>
    <w:rsid w:val="18487E8C"/>
    <w:rsid w:val="197C0872"/>
    <w:rsid w:val="1B062260"/>
    <w:rsid w:val="1B450CBD"/>
    <w:rsid w:val="1BA462DC"/>
    <w:rsid w:val="1C0B5C47"/>
    <w:rsid w:val="1C780694"/>
    <w:rsid w:val="1DCD2824"/>
    <w:rsid w:val="1E251EB2"/>
    <w:rsid w:val="1EBB3088"/>
    <w:rsid w:val="1EF30758"/>
    <w:rsid w:val="1F1F5368"/>
    <w:rsid w:val="20DD030F"/>
    <w:rsid w:val="21663412"/>
    <w:rsid w:val="238416F9"/>
    <w:rsid w:val="24037E5E"/>
    <w:rsid w:val="24E229A6"/>
    <w:rsid w:val="25465697"/>
    <w:rsid w:val="2691660A"/>
    <w:rsid w:val="26C24C20"/>
    <w:rsid w:val="27112FB3"/>
    <w:rsid w:val="28944DD8"/>
    <w:rsid w:val="28E55CB5"/>
    <w:rsid w:val="2A4903DD"/>
    <w:rsid w:val="2A8B68D1"/>
    <w:rsid w:val="2A9711E9"/>
    <w:rsid w:val="2AB73A3D"/>
    <w:rsid w:val="2AD1423F"/>
    <w:rsid w:val="2DCD46EB"/>
    <w:rsid w:val="2DEA2909"/>
    <w:rsid w:val="2FC448C4"/>
    <w:rsid w:val="2FDC37A6"/>
    <w:rsid w:val="31373BDE"/>
    <w:rsid w:val="32E43CA3"/>
    <w:rsid w:val="33286227"/>
    <w:rsid w:val="34A5225C"/>
    <w:rsid w:val="34C50756"/>
    <w:rsid w:val="35234F37"/>
    <w:rsid w:val="359F54D2"/>
    <w:rsid w:val="37E73D1F"/>
    <w:rsid w:val="38097AB1"/>
    <w:rsid w:val="38B3466A"/>
    <w:rsid w:val="38FB3A6F"/>
    <w:rsid w:val="39615150"/>
    <w:rsid w:val="3B890EA9"/>
    <w:rsid w:val="3C03236B"/>
    <w:rsid w:val="3CC16E72"/>
    <w:rsid w:val="3CFF615A"/>
    <w:rsid w:val="3D3E6FF6"/>
    <w:rsid w:val="3D5B5FE0"/>
    <w:rsid w:val="3EC446DA"/>
    <w:rsid w:val="408F257D"/>
    <w:rsid w:val="40DE33BC"/>
    <w:rsid w:val="414A489D"/>
    <w:rsid w:val="43014318"/>
    <w:rsid w:val="434E3941"/>
    <w:rsid w:val="439B7AD0"/>
    <w:rsid w:val="43BE7842"/>
    <w:rsid w:val="44170EE0"/>
    <w:rsid w:val="44744973"/>
    <w:rsid w:val="4538211E"/>
    <w:rsid w:val="46114A43"/>
    <w:rsid w:val="466B2E83"/>
    <w:rsid w:val="46F41E88"/>
    <w:rsid w:val="46F521A7"/>
    <w:rsid w:val="4986079C"/>
    <w:rsid w:val="4A1D77F5"/>
    <w:rsid w:val="4AA73BBC"/>
    <w:rsid w:val="4B470C44"/>
    <w:rsid w:val="4BB4757D"/>
    <w:rsid w:val="4FA17843"/>
    <w:rsid w:val="4FF75E5A"/>
    <w:rsid w:val="51F43C3E"/>
    <w:rsid w:val="521E6133"/>
    <w:rsid w:val="53B95309"/>
    <w:rsid w:val="54872F26"/>
    <w:rsid w:val="55B7739D"/>
    <w:rsid w:val="56683594"/>
    <w:rsid w:val="5765408B"/>
    <w:rsid w:val="57F72806"/>
    <w:rsid w:val="583905FF"/>
    <w:rsid w:val="5875429A"/>
    <w:rsid w:val="5B696631"/>
    <w:rsid w:val="5BFF3818"/>
    <w:rsid w:val="5CA76495"/>
    <w:rsid w:val="5CAD219D"/>
    <w:rsid w:val="5CF019E4"/>
    <w:rsid w:val="5D63348B"/>
    <w:rsid w:val="5D6F6556"/>
    <w:rsid w:val="5DE642B2"/>
    <w:rsid w:val="5E160DBD"/>
    <w:rsid w:val="5F76774B"/>
    <w:rsid w:val="607E1D8E"/>
    <w:rsid w:val="61526C57"/>
    <w:rsid w:val="619E4F13"/>
    <w:rsid w:val="62A512FD"/>
    <w:rsid w:val="62AD3641"/>
    <w:rsid w:val="62BA32D6"/>
    <w:rsid w:val="634F5A86"/>
    <w:rsid w:val="64737F34"/>
    <w:rsid w:val="64A77AA2"/>
    <w:rsid w:val="64C6262A"/>
    <w:rsid w:val="656C68AB"/>
    <w:rsid w:val="66340736"/>
    <w:rsid w:val="66545245"/>
    <w:rsid w:val="67941EAF"/>
    <w:rsid w:val="6A0F7477"/>
    <w:rsid w:val="6A962B0A"/>
    <w:rsid w:val="6AA56557"/>
    <w:rsid w:val="6B0722C1"/>
    <w:rsid w:val="6B3735F4"/>
    <w:rsid w:val="6B936543"/>
    <w:rsid w:val="6C9F4FF1"/>
    <w:rsid w:val="6CF91526"/>
    <w:rsid w:val="6E1376D8"/>
    <w:rsid w:val="6EAE2D81"/>
    <w:rsid w:val="70154C06"/>
    <w:rsid w:val="70F12D28"/>
    <w:rsid w:val="71EB0696"/>
    <w:rsid w:val="72A738C4"/>
    <w:rsid w:val="72CB7C1E"/>
    <w:rsid w:val="72F575AF"/>
    <w:rsid w:val="73384BEB"/>
    <w:rsid w:val="751022D8"/>
    <w:rsid w:val="76296A70"/>
    <w:rsid w:val="77AD40FF"/>
    <w:rsid w:val="780A7D28"/>
    <w:rsid w:val="782443CE"/>
    <w:rsid w:val="78976935"/>
    <w:rsid w:val="78DC2E71"/>
    <w:rsid w:val="7A7871C2"/>
    <w:rsid w:val="7ABA71ED"/>
    <w:rsid w:val="7AD24553"/>
    <w:rsid w:val="7B1A205A"/>
    <w:rsid w:val="7B1E2295"/>
    <w:rsid w:val="7E133E16"/>
    <w:rsid w:val="7E3B6554"/>
    <w:rsid w:val="7F044153"/>
    <w:rsid w:val="7F756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仿宋_GB2312" w:asciiTheme="minorHAnsi" w:hAnsiTheme="minorHAnsi"/>
      <w:color w:val="000000" w:themeColor="text1"/>
      <w:kern w:val="2"/>
      <w:sz w:val="32"/>
      <w:szCs w:val="32"/>
      <w:u w:val="none"/>
      <w:lang w:val="en-US" w:eastAsia="zh-CN"/>
      <w14:textFill>
        <w14:solidFill>
          <w14:schemeClr w14:val="tx1"/>
        </w14:solidFill>
      </w14:textFill>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码1"/>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2019-05-08T02:23:00Z</dcterms:created>
  <dc:creator>梦羽1381641267</dc:creator>
  <cp:lastModifiedBy>-Jus</cp:lastModifiedBy>
  <dcterms:modified xsi:type="dcterms:W3CDTF">2023-11-10T08:06:54Z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511A935C612E4011A2F96DB4D643A9AB_12</vt:lpwstr>
  </property>
</Properties>
</file>